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68E5" w14:textId="573AAEBA" w:rsidR="005C623F" w:rsidRPr="00F7188E" w:rsidRDefault="005C623F" w:rsidP="005C623F">
      <w:pPr>
        <w:pStyle w:val="Ploha"/>
        <w:pageBreakBefore/>
        <w:spacing w:after="0"/>
        <w:jc w:val="both"/>
        <w:rPr>
          <w:rFonts w:ascii="Segoe UI" w:hAnsi="Segoe UI" w:cs="Segoe UI"/>
          <w:color w:val="73767D"/>
          <w:sz w:val="22"/>
          <w:szCs w:val="22"/>
        </w:rPr>
      </w:pPr>
      <w:bookmarkStart w:id="0" w:name="_Toc121833263"/>
      <w:bookmarkStart w:id="1" w:name="_Toc124071945"/>
      <w:bookmarkStart w:id="2" w:name="_Toc144299835"/>
      <w:r w:rsidRPr="00F7188E">
        <w:rPr>
          <w:rFonts w:ascii="Segoe UI" w:hAnsi="Segoe UI" w:cs="Segoe UI"/>
          <w:color w:val="73767D"/>
          <w:sz w:val="22"/>
          <w:szCs w:val="22"/>
        </w:rPr>
        <w:t xml:space="preserve">Příloha č. </w:t>
      </w:r>
      <w:r w:rsidR="00F95C4C">
        <w:rPr>
          <w:rFonts w:ascii="Segoe UI" w:hAnsi="Segoe UI" w:cs="Segoe UI"/>
          <w:color w:val="73767D"/>
          <w:sz w:val="22"/>
          <w:szCs w:val="22"/>
        </w:rPr>
        <w:t>6</w:t>
      </w:r>
      <w:r w:rsidRPr="00F7188E">
        <w:rPr>
          <w:rFonts w:ascii="Segoe UI" w:hAnsi="Segoe UI" w:cs="Segoe UI"/>
          <w:color w:val="73767D"/>
          <w:sz w:val="22"/>
          <w:szCs w:val="22"/>
        </w:rPr>
        <w:t xml:space="preserve"> – Čestné prohlášení ve vztahu k ruským / běloruským subjektům</w:t>
      </w:r>
      <w:bookmarkEnd w:id="0"/>
      <w:bookmarkEnd w:id="1"/>
      <w:bookmarkEnd w:id="2"/>
    </w:p>
    <w:p w14:paraId="20721D38" w14:textId="77777777" w:rsidR="005C623F" w:rsidRPr="00F7188E" w:rsidRDefault="005C623F" w:rsidP="005C623F">
      <w:pPr>
        <w:jc w:val="both"/>
        <w:rPr>
          <w:rFonts w:ascii="Segoe UI" w:hAnsi="Segoe UI" w:cs="Segoe UI"/>
          <w:b/>
          <w:sz w:val="22"/>
          <w:szCs w:val="22"/>
        </w:rPr>
      </w:pPr>
    </w:p>
    <w:p w14:paraId="54D7A2EB" w14:textId="77777777" w:rsidR="005C623F" w:rsidRPr="00F7188E" w:rsidRDefault="005C623F" w:rsidP="005C623F">
      <w:pPr>
        <w:jc w:val="both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VE VZTAHU K RUSKÝM / BĚLORUSKÝM SUBJEKTŮM</w:t>
      </w:r>
    </w:p>
    <w:p w14:paraId="55C7CEB4" w14:textId="535EA6C0" w:rsidR="00C26D41" w:rsidRDefault="005A08D3" w:rsidP="00C26D41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  <w:r>
        <w:rPr>
          <w:rFonts w:ascii="Segoe UI" w:eastAsia="Calibri" w:hAnsi="Segoe UI" w:cs="Segoe UI"/>
          <w:b/>
        </w:rPr>
        <w:t xml:space="preserve"> </w:t>
      </w:r>
      <w:r w:rsidR="00F93A53" w:rsidRPr="00F93A53">
        <w:rPr>
          <w:rFonts w:ascii="Segoe UI" w:eastAsia="Calibri" w:hAnsi="Segoe UI" w:cs="Segoe UI"/>
          <w:b/>
          <w:bCs/>
        </w:rPr>
        <w:t xml:space="preserve">Modernizace družin na ZŠ M. Kudeříkové </w:t>
      </w:r>
      <w:proofErr w:type="gramStart"/>
      <w:r w:rsidR="00F93A53" w:rsidRPr="00F93A53">
        <w:rPr>
          <w:rFonts w:ascii="Segoe UI" w:eastAsia="Calibri" w:hAnsi="Segoe UI" w:cs="Segoe UI"/>
          <w:b/>
          <w:bCs/>
        </w:rPr>
        <w:t>Havířov</w:t>
      </w:r>
      <w:r w:rsidR="00F93A53" w:rsidRPr="00F93A53">
        <w:rPr>
          <w:rFonts w:ascii="Segoe UI" w:eastAsia="Calibri" w:hAnsi="Segoe UI" w:cs="Segoe UI"/>
          <w:b/>
          <w:bCs/>
        </w:rPr>
        <w:t xml:space="preserve"> </w:t>
      </w:r>
      <w:r w:rsidR="00C26D41" w:rsidRPr="00500912">
        <w:rPr>
          <w:rFonts w:ascii="Segoe UI" w:eastAsia="Calibri" w:hAnsi="Segoe UI" w:cs="Segoe UI"/>
          <w:b/>
          <w:bCs/>
        </w:rPr>
        <w:t>-</w:t>
      </w:r>
      <w:r w:rsidR="00BF47A8">
        <w:rPr>
          <w:rFonts w:ascii="Segoe UI" w:eastAsia="Calibri" w:hAnsi="Segoe UI" w:cs="Segoe UI"/>
          <w:b/>
          <w:bCs/>
        </w:rPr>
        <w:t xml:space="preserve"> </w:t>
      </w:r>
      <w:r w:rsidR="002B3204">
        <w:rPr>
          <w:rFonts w:ascii="Segoe UI" w:eastAsia="Calibri" w:hAnsi="Segoe UI" w:cs="Segoe UI"/>
        </w:rPr>
        <w:t>stavební</w:t>
      </w:r>
      <w:proofErr w:type="gramEnd"/>
      <w:r w:rsidR="002B3204">
        <w:rPr>
          <w:rFonts w:ascii="Segoe UI" w:eastAsia="Calibri" w:hAnsi="Segoe UI" w:cs="Segoe UI"/>
        </w:rPr>
        <w:t xml:space="preserve"> práce</w:t>
      </w:r>
      <w:r w:rsidR="00C26D41" w:rsidRPr="00F7188E">
        <w:rPr>
          <w:rFonts w:ascii="Segoe UI" w:eastAsia="Calibri" w:hAnsi="Segoe UI" w:cs="Segoe UI"/>
          <w:b/>
        </w:rPr>
        <w:t xml:space="preserve"> </w:t>
      </w:r>
    </w:p>
    <w:p w14:paraId="4D88894D" w14:textId="731DB579" w:rsidR="005A08D3" w:rsidRPr="00F7188E" w:rsidRDefault="005A08D3" w:rsidP="00C26D41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5C623F" w:rsidRPr="00F7188E" w14:paraId="0637B149" w14:textId="77777777" w:rsidTr="00044F9A">
        <w:trPr>
          <w:trHeight w:val="353"/>
        </w:trPr>
        <w:tc>
          <w:tcPr>
            <w:tcW w:w="4003" w:type="dxa"/>
            <w:vAlign w:val="center"/>
          </w:tcPr>
          <w:p w14:paraId="12ED8659" w14:textId="77777777" w:rsidR="005C623F" w:rsidRPr="00F7188E" w:rsidRDefault="005C623F" w:rsidP="00044F9A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D47CAB1" w14:textId="06E94B0E" w:rsidR="005C623F" w:rsidRPr="00180E64" w:rsidRDefault="00180E64" w:rsidP="00044F9A">
            <w:pPr>
              <w:jc w:val="both"/>
              <w:rPr>
                <w:rFonts w:ascii="Segoe UI" w:eastAsia="Calibri" w:hAnsi="Segoe UI" w:cs="Segoe UI"/>
                <w:i/>
                <w:iCs/>
                <w:sz w:val="18"/>
                <w:szCs w:val="18"/>
                <w:highlight w:val="yellow"/>
              </w:rPr>
            </w:pPr>
            <w:r w:rsidRPr="00180E64">
              <w:rPr>
                <w:rFonts w:ascii="Segoe UI" w:hAnsi="Segoe UI" w:cs="Segoe UI"/>
                <w:i/>
                <w:iCs/>
                <w:sz w:val="18"/>
                <w:szCs w:val="18"/>
                <w:highlight w:val="yellow"/>
              </w:rPr>
              <w:t>vyplnit</w:t>
            </w:r>
          </w:p>
        </w:tc>
      </w:tr>
      <w:tr w:rsidR="005C623F" w:rsidRPr="00F7188E" w14:paraId="5289A8AE" w14:textId="77777777" w:rsidTr="00044F9A">
        <w:trPr>
          <w:trHeight w:val="353"/>
        </w:trPr>
        <w:tc>
          <w:tcPr>
            <w:tcW w:w="4003" w:type="dxa"/>
            <w:vAlign w:val="center"/>
          </w:tcPr>
          <w:p w14:paraId="2198EDDA" w14:textId="77777777" w:rsidR="005C623F" w:rsidRPr="00F7188E" w:rsidRDefault="005C623F" w:rsidP="00044F9A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02E97DBF" w14:textId="4B36928C" w:rsidR="005C623F" w:rsidRPr="00180E64" w:rsidRDefault="00180E64" w:rsidP="00044F9A">
            <w:pPr>
              <w:jc w:val="both"/>
              <w:rPr>
                <w:rFonts w:ascii="Segoe UI" w:eastAsia="Calibri" w:hAnsi="Segoe UI" w:cs="Segoe UI"/>
                <w:i/>
                <w:iCs/>
                <w:sz w:val="18"/>
                <w:szCs w:val="18"/>
                <w:highlight w:val="yellow"/>
              </w:rPr>
            </w:pPr>
            <w:r w:rsidRPr="00180E64">
              <w:rPr>
                <w:rFonts w:ascii="Segoe UI" w:eastAsia="Calibri" w:hAnsi="Segoe UI" w:cs="Segoe UI"/>
                <w:i/>
                <w:iCs/>
                <w:sz w:val="18"/>
                <w:szCs w:val="18"/>
                <w:highlight w:val="yellow"/>
              </w:rPr>
              <w:t>vyplnit</w:t>
            </w:r>
          </w:p>
        </w:tc>
      </w:tr>
    </w:tbl>
    <w:p w14:paraId="06190012" w14:textId="77777777" w:rsidR="005C623F" w:rsidRPr="00F7188E" w:rsidRDefault="005C623F" w:rsidP="005C623F">
      <w:pPr>
        <w:pStyle w:val="Podnadpis"/>
        <w:spacing w:before="240" w:after="120" w:line="264" w:lineRule="auto"/>
        <w:jc w:val="both"/>
        <w:rPr>
          <w:rFonts w:cs="Segoe UI"/>
          <w:b w:val="0"/>
          <w:color w:val="000000"/>
          <w:szCs w:val="20"/>
        </w:rPr>
      </w:pPr>
      <w:r w:rsidRPr="00F7188E">
        <w:rPr>
          <w:rStyle w:val="fontstyle01"/>
          <w:rFonts w:cs="Segoe UI"/>
          <w:b w:val="0"/>
          <w:szCs w:val="20"/>
        </w:rPr>
        <w:t>Vybraný dodavatel tímto ve vztahu k výše nadepsané zakázce / veřejné zakázky prohlašuje, že:</w:t>
      </w:r>
    </w:p>
    <w:p w14:paraId="08246964" w14:textId="77777777" w:rsidR="005C623F" w:rsidRPr="00F7188E" w:rsidRDefault="005C623F" w:rsidP="005C623F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F7188E">
        <w:rPr>
          <w:rFonts w:cs="Segoe UI"/>
          <w:color w:val="000000"/>
        </w:rPr>
        <w:t>ii</w:t>
      </w:r>
      <w:proofErr w:type="spellEnd"/>
      <w:r w:rsidRPr="00F7188E">
        <w:rPr>
          <w:rFonts w:cs="Segoe UI"/>
          <w:color w:val="000000"/>
        </w:rPr>
        <w:t xml:space="preserve">) kterákoli z osob, jejichž kapacity bude dodavatel využívat, a to </w:t>
      </w:r>
      <w:r w:rsidRPr="00F7188E">
        <w:rPr>
          <w:rFonts w:cs="Segoe UI"/>
          <w:color w:val="000000"/>
        </w:rPr>
        <w:br/>
        <w:t>v rozsahu více než 10 % nabídkové ceny,</w:t>
      </w:r>
    </w:p>
    <w:p w14:paraId="77EBD34D" w14:textId="77777777" w:rsidR="005C623F" w:rsidRPr="00F7188E" w:rsidRDefault="005C623F" w:rsidP="005C623F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ruským státním příslušníkem, fyzickou či právnickou osobou nebo subjektem či orgánem se sídlem v Rusku,</w:t>
      </w:r>
    </w:p>
    <w:p w14:paraId="2D163719" w14:textId="77777777" w:rsidR="005C623F" w:rsidRPr="00F7188E" w:rsidRDefault="005C623F" w:rsidP="005C623F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484C72F4" w14:textId="77777777" w:rsidR="005C623F" w:rsidRPr="00F7188E" w:rsidRDefault="005C623F" w:rsidP="005C623F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nejedná jménem nebo na pokyn některého ze subjektů uvedených v písmeni a) nebo b)</w:t>
      </w:r>
      <w:r w:rsidRPr="00F7188E">
        <w:rPr>
          <w:rStyle w:val="Znakapoznpodarou"/>
          <w:rFonts w:eastAsiaTheme="majorEastAsia" w:cs="Segoe UI"/>
          <w:color w:val="000000"/>
        </w:rPr>
        <w:footnoteReference w:id="1"/>
      </w:r>
      <w:r w:rsidRPr="00F7188E">
        <w:rPr>
          <w:rFonts w:cs="Segoe UI"/>
          <w:color w:val="000000"/>
        </w:rPr>
        <w:t>;</w:t>
      </w:r>
    </w:p>
    <w:p w14:paraId="37E2CF4F" w14:textId="77777777" w:rsidR="005C623F" w:rsidRPr="00F7188E" w:rsidRDefault="005C623F" w:rsidP="005C623F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F7188E">
        <w:rPr>
          <w:rFonts w:cs="Segoe UI"/>
        </w:rPr>
        <w:t xml:space="preserve"> nařízení Rady (EU) č. 208/2014, o omezujících opatřeních vůči některým osobám, subjektům, orgánům vzhledem k situaci na Ukrajině,</w:t>
      </w:r>
      <w:r w:rsidRPr="00F7188E">
        <w:rPr>
          <w:rFonts w:cs="Segoe UI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F7188E">
        <w:rPr>
          <w:rStyle w:val="Znakapoznpodarou"/>
          <w:rFonts w:cs="Segoe UI"/>
          <w:color w:val="000000"/>
        </w:rPr>
        <w:footnoteReference w:id="2"/>
      </w:r>
      <w:r w:rsidRPr="00F7188E">
        <w:rPr>
          <w:rFonts w:cs="Segoe UI"/>
          <w:color w:val="000000"/>
        </w:rPr>
        <w:t>;</w:t>
      </w:r>
    </w:p>
    <w:p w14:paraId="1337ED48" w14:textId="77777777" w:rsidR="005C623F" w:rsidRPr="00F7188E" w:rsidRDefault="005C623F" w:rsidP="005C623F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F7188E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F7188E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  <w:bookmarkStart w:id="3" w:name="_Toc121833264"/>
    </w:p>
    <w:bookmarkEnd w:id="3"/>
    <w:p w14:paraId="30200F49" w14:textId="7623E8C7" w:rsidR="00685066" w:rsidRPr="00F7188E" w:rsidRDefault="0073313B" w:rsidP="00685066">
      <w:pPr>
        <w:pStyle w:val="Podtitul11"/>
        <w:numPr>
          <w:ilvl w:val="0"/>
          <w:numId w:val="0"/>
        </w:numPr>
        <w:spacing w:before="240" w:after="0"/>
        <w:ind w:left="576" w:hanging="576"/>
        <w:rPr>
          <w:rFonts w:cs="Segoe UI"/>
        </w:rPr>
      </w:pPr>
      <w:r>
        <w:rPr>
          <w:rFonts w:cs="Segoe UI"/>
        </w:rPr>
        <w:t xml:space="preserve">Ve </w:t>
      </w:r>
      <w:r w:rsidR="00180E64" w:rsidRPr="002B48E6">
        <w:rPr>
          <w:rFonts w:cs="Segoe UI"/>
          <w:highlight w:val="yellow"/>
        </w:rPr>
        <w:t>……………</w:t>
      </w:r>
    </w:p>
    <w:p w14:paraId="256ADC03" w14:textId="77777777" w:rsidR="005C623F" w:rsidRPr="00F7188E" w:rsidRDefault="005C623F" w:rsidP="005C623F">
      <w:pPr>
        <w:pStyle w:val="Podtitul11"/>
        <w:numPr>
          <w:ilvl w:val="0"/>
          <w:numId w:val="0"/>
        </w:numPr>
        <w:spacing w:before="0" w:after="0"/>
        <w:rPr>
          <w:rFonts w:cs="Segoe UI"/>
        </w:rPr>
      </w:pPr>
    </w:p>
    <w:p w14:paraId="0F8737A9" w14:textId="77777777" w:rsidR="005C623F" w:rsidRPr="00F7188E" w:rsidRDefault="005C623F" w:rsidP="0073313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lastRenderedPageBreak/>
        <w:tab/>
      </w:r>
    </w:p>
    <w:p w14:paraId="4AF70143" w14:textId="1BB1380B" w:rsidR="00685066" w:rsidRPr="002B48E6" w:rsidRDefault="002B48E6" w:rsidP="00685066">
      <w:pPr>
        <w:pStyle w:val="Bezmezer"/>
        <w:rPr>
          <w:rFonts w:cs="Segoe UI"/>
          <w:bCs/>
          <w:i/>
          <w:iCs/>
          <w:sz w:val="18"/>
          <w:szCs w:val="18"/>
        </w:rPr>
      </w:pPr>
      <w:r w:rsidRPr="002B48E6">
        <w:rPr>
          <w:rFonts w:cs="Segoe UI"/>
          <w:bCs/>
          <w:i/>
          <w:iCs/>
          <w:sz w:val="18"/>
          <w:szCs w:val="18"/>
          <w:highlight w:val="yellow"/>
        </w:rPr>
        <w:t>podpis dodavatele</w:t>
      </w:r>
    </w:p>
    <w:sectPr w:rsidR="00685066" w:rsidRPr="002B48E6" w:rsidSect="005C623F">
      <w:headerReference w:type="default" r:id="rId7"/>
      <w:footerReference w:type="default" r:id="rId8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96902" w14:textId="77777777" w:rsidR="0055535C" w:rsidRDefault="0055535C" w:rsidP="005C623F">
      <w:r>
        <w:separator/>
      </w:r>
    </w:p>
  </w:endnote>
  <w:endnote w:type="continuationSeparator" w:id="0">
    <w:p w14:paraId="0481B6BC" w14:textId="77777777" w:rsidR="0055535C" w:rsidRDefault="0055535C" w:rsidP="005C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BCD5" w14:textId="77777777" w:rsidR="00FE149C" w:rsidRPr="007B1E55" w:rsidRDefault="00000000">
    <w:pPr>
      <w:pStyle w:val="Zpat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449FD6B" wp14:editId="358BC485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33DBB" w14:textId="77777777" w:rsidR="00FE149C" w:rsidRPr="007B1E55" w:rsidRDefault="00000000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9FD6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454.45pt;margin-top:804.75pt;width:70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" filled="f" stroked="f">
              <v:textbox style="mso-fit-shape-to-text:t" inset="0,0,0,0">
                <w:txbxContent>
                  <w:p w14:paraId="29B33DBB" w14:textId="77777777" w:rsidR="00FE149C" w:rsidRPr="007B1E55" w:rsidRDefault="00000000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DFEE334" wp14:editId="465F2745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E34DD" w14:textId="77777777" w:rsidR="00FE149C" w:rsidRPr="007B1E55" w:rsidRDefault="00000000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FEE334" id="Textové pole 2" o:spid="_x0000_s1027" type="#_x0000_t202" style="position:absolute;margin-left:454.45pt;margin-top:804.75pt;width:70.8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" filled="f" stroked="f">
              <v:textbox style="mso-fit-shape-to-text:t" inset="0,0,0,0">
                <w:txbxContent>
                  <w:p w14:paraId="1D8E34DD" w14:textId="77777777" w:rsidR="00FE149C" w:rsidRPr="007B1E55" w:rsidRDefault="00000000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B7252B0" wp14:editId="7BDB14DB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11F8A" w14:textId="77777777" w:rsidR="00FE149C" w:rsidRPr="007B1E55" w:rsidRDefault="00000000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39</w:t>
                          </w:r>
                          <w:r w:rsidDel="007F4F51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7252B0" id="Text Box 15" o:spid="_x0000_s1028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" filled="f" stroked="f">
              <v:textbox style="mso-fit-shape-to-text:t" inset="0,0,0,0">
                <w:txbxContent>
                  <w:p w14:paraId="48B11F8A" w14:textId="77777777" w:rsidR="00FE149C" w:rsidRPr="007B1E55" w:rsidRDefault="00000000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39</w:t>
                    </w:r>
                    <w:r w:rsidDel="007F4F51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7B1E55">
      <w:rPr>
        <w:rFonts w:ascii="Segoe UI" w:hAnsi="Segoe UI" w:cs="Segoe UI"/>
        <w:noProof/>
        <w:lang w:eastAsia="cs-CZ"/>
      </w:rPr>
      <w:t xml:space="preserve">Pokyny pro zadávání zakázek v Operačním programu Životní prostředí </w:t>
    </w:r>
    <w:r>
      <w:rPr>
        <w:rFonts w:ascii="Segoe UI" w:hAnsi="Segoe UI" w:cs="Segoe UI"/>
        <w:noProof/>
        <w:lang w:eastAsia="cs-CZ"/>
      </w:rPr>
      <w:t>a v Operačním programu Spravedlivá transformace</w:t>
    </w:r>
    <w:r>
      <w:rPr>
        <w:rFonts w:ascii="Segoe UI" w:hAnsi="Segoe UI" w:cs="Segoe UI"/>
        <w:noProof/>
        <w:lang w:eastAsia="cs-CZ"/>
      </w:rPr>
      <w:br/>
    </w:r>
    <w:r w:rsidRPr="007B1E55">
      <w:rPr>
        <w:rFonts w:ascii="Segoe UI" w:hAnsi="Segoe UI" w:cs="Segoe UI"/>
        <w:noProof/>
        <w:lang w:eastAsia="cs-CZ"/>
      </w:rPr>
      <w:t>pro období 2021-2027</w:t>
    </w:r>
    <w:r w:rsidRPr="007B1E55">
      <w:rPr>
        <w:rFonts w:ascii="Segoe UI" w:hAnsi="Segoe UI" w:cs="Segoe UI"/>
      </w:rPr>
      <w:t xml:space="preserve">, verze </w:t>
    </w:r>
    <w:r>
      <w:rPr>
        <w:rFonts w:ascii="Segoe UI" w:hAnsi="Segoe UI" w:cs="Segoe UI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8C455" w14:textId="77777777" w:rsidR="0055535C" w:rsidRDefault="0055535C" w:rsidP="005C623F">
      <w:r>
        <w:separator/>
      </w:r>
    </w:p>
  </w:footnote>
  <w:footnote w:type="continuationSeparator" w:id="0">
    <w:p w14:paraId="651E748E" w14:textId="77777777" w:rsidR="0055535C" w:rsidRDefault="0055535C" w:rsidP="005C623F">
      <w:r>
        <w:continuationSeparator/>
      </w:r>
    </w:p>
  </w:footnote>
  <w:footnote w:id="1">
    <w:p w14:paraId="28ECED9A" w14:textId="77777777" w:rsidR="005C623F" w:rsidRPr="00F7188E" w:rsidRDefault="005C623F" w:rsidP="005C623F">
      <w:pPr>
        <w:pStyle w:val="Textpoznpodarou"/>
        <w:rPr>
          <w:rFonts w:ascii="Segoe UI" w:hAnsi="Segoe UI" w:cs="Segoe UI"/>
        </w:rPr>
      </w:pPr>
      <w:r w:rsidRPr="00F7188E">
        <w:rPr>
          <w:rStyle w:val="Znakapoznpodarou"/>
          <w:rFonts w:ascii="Segoe UI" w:hAnsi="Segoe UI" w:cs="Segoe UI"/>
        </w:rPr>
        <w:footnoteRef/>
      </w:r>
      <w:r w:rsidRPr="00F7188E">
        <w:rPr>
          <w:rFonts w:ascii="Segoe UI" w:hAnsi="Segoe UI" w:cs="Segoe UI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2463F4CE" w14:textId="77777777" w:rsidR="005C623F" w:rsidRPr="00F7188E" w:rsidRDefault="005C623F" w:rsidP="005C623F">
      <w:pPr>
        <w:pStyle w:val="Textpoznpodarou"/>
        <w:rPr>
          <w:rFonts w:ascii="Segoe UI" w:hAnsi="Segoe UI" w:cs="Segoe UI"/>
          <w:sz w:val="18"/>
          <w:szCs w:val="16"/>
        </w:rPr>
      </w:pPr>
      <w:r w:rsidRPr="00F7188E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F7188E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F7188E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F7188E">
        <w:rPr>
          <w:rFonts w:ascii="Segoe UI" w:hAnsi="Segoe UI" w:cs="Segoe UI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06517" w14:textId="260F64E1" w:rsidR="00FE149C" w:rsidRDefault="00E31D1F">
    <w:pPr>
      <w:pStyle w:val="Zhlav"/>
    </w:pPr>
    <w:r>
      <w:rPr>
        <w:rFonts w:ascii="Calibri Light" w:hAnsi="Calibri Light" w:cs="Calibri Light"/>
        <w:noProof/>
      </w:rPr>
      <w:drawing>
        <wp:inline distT="0" distB="0" distL="0" distR="0" wp14:anchorId="379DDA6A" wp14:editId="3DD0E3B5">
          <wp:extent cx="4962082" cy="670035"/>
          <wp:effectExtent l="0" t="0" r="3810" b="3175"/>
          <wp:docPr id="69792345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923453" name="Obrázek 69792345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3054" cy="713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030522" w14:textId="77777777" w:rsidR="00FE149C" w:rsidRDefault="00FE149C">
    <w:pPr>
      <w:pStyle w:val="Zhlav"/>
    </w:pPr>
  </w:p>
  <w:p w14:paraId="61E8EB33" w14:textId="77777777" w:rsidR="00FE149C" w:rsidRDefault="00FE14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209404">
    <w:abstractNumId w:val="1"/>
  </w:num>
  <w:num w:numId="2" w16cid:durableId="1818913005">
    <w:abstractNumId w:val="2"/>
  </w:num>
  <w:num w:numId="3" w16cid:durableId="2066102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C5"/>
    <w:rsid w:val="00005E92"/>
    <w:rsid w:val="000F4EC7"/>
    <w:rsid w:val="00101376"/>
    <w:rsid w:val="00135B39"/>
    <w:rsid w:val="001553B9"/>
    <w:rsid w:val="00157E4D"/>
    <w:rsid w:val="00180E64"/>
    <w:rsid w:val="001F34AE"/>
    <w:rsid w:val="00226305"/>
    <w:rsid w:val="0024723E"/>
    <w:rsid w:val="00292D28"/>
    <w:rsid w:val="002B3204"/>
    <w:rsid w:val="002B48E6"/>
    <w:rsid w:val="0030017D"/>
    <w:rsid w:val="0030063C"/>
    <w:rsid w:val="003877EE"/>
    <w:rsid w:val="003F783A"/>
    <w:rsid w:val="0043602B"/>
    <w:rsid w:val="00466CCC"/>
    <w:rsid w:val="004832C1"/>
    <w:rsid w:val="004A29C5"/>
    <w:rsid w:val="004D3CD1"/>
    <w:rsid w:val="004F0E52"/>
    <w:rsid w:val="004F56E3"/>
    <w:rsid w:val="0055535C"/>
    <w:rsid w:val="005A08D3"/>
    <w:rsid w:val="005C623F"/>
    <w:rsid w:val="005D03B3"/>
    <w:rsid w:val="005E09AF"/>
    <w:rsid w:val="0065113E"/>
    <w:rsid w:val="006569D9"/>
    <w:rsid w:val="0066413F"/>
    <w:rsid w:val="006741C4"/>
    <w:rsid w:val="00685066"/>
    <w:rsid w:val="006D34F7"/>
    <w:rsid w:val="006F354C"/>
    <w:rsid w:val="00714592"/>
    <w:rsid w:val="0073313B"/>
    <w:rsid w:val="007B4773"/>
    <w:rsid w:val="007D754E"/>
    <w:rsid w:val="008104DC"/>
    <w:rsid w:val="0083573F"/>
    <w:rsid w:val="00883FE0"/>
    <w:rsid w:val="008A3029"/>
    <w:rsid w:val="008D5374"/>
    <w:rsid w:val="008D61BA"/>
    <w:rsid w:val="00923C0C"/>
    <w:rsid w:val="00952D1C"/>
    <w:rsid w:val="009D594C"/>
    <w:rsid w:val="009E28FE"/>
    <w:rsid w:val="009F3DC0"/>
    <w:rsid w:val="00B15B7C"/>
    <w:rsid w:val="00B35551"/>
    <w:rsid w:val="00B5190E"/>
    <w:rsid w:val="00B93296"/>
    <w:rsid w:val="00BF47A8"/>
    <w:rsid w:val="00C04769"/>
    <w:rsid w:val="00C26D41"/>
    <w:rsid w:val="00C97B60"/>
    <w:rsid w:val="00CA07EF"/>
    <w:rsid w:val="00CC2417"/>
    <w:rsid w:val="00CE695B"/>
    <w:rsid w:val="00D02C01"/>
    <w:rsid w:val="00D62AF6"/>
    <w:rsid w:val="00D630E6"/>
    <w:rsid w:val="00D71593"/>
    <w:rsid w:val="00D9483E"/>
    <w:rsid w:val="00DD1F03"/>
    <w:rsid w:val="00DD6444"/>
    <w:rsid w:val="00E31D1F"/>
    <w:rsid w:val="00EC1518"/>
    <w:rsid w:val="00EF468E"/>
    <w:rsid w:val="00F93A53"/>
    <w:rsid w:val="00F95C4C"/>
    <w:rsid w:val="00FB037D"/>
    <w:rsid w:val="00FB2FA3"/>
    <w:rsid w:val="00FE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BC19B"/>
  <w15:chartTrackingRefBased/>
  <w15:docId w15:val="{97360CA0-EB5B-4CA7-B0FB-4E21F6E0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623F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62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C623F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C623F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C623F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C623F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5C623F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C623F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C623F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C623F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C623F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C623F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5C623F"/>
  </w:style>
  <w:style w:type="paragraph" w:styleId="Podnadpis">
    <w:name w:val="Subtitle"/>
    <w:basedOn w:val="Normln"/>
    <w:next w:val="Normln"/>
    <w:link w:val="PodnadpisChar"/>
    <w:qFormat/>
    <w:rsid w:val="005C623F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C623F"/>
    <w:rPr>
      <w:rFonts w:ascii="Segoe UI" w:eastAsiaTheme="minorEastAsia" w:hAnsi="Segoe UI"/>
      <w:b/>
      <w:kern w:val="0"/>
      <w:sz w:val="20"/>
      <w14:ligatures w14:val="none"/>
    </w:rPr>
  </w:style>
  <w:style w:type="paragraph" w:customStyle="1" w:styleId="Podtitul11">
    <w:name w:val="Podtitul 1.1"/>
    <w:basedOn w:val="Nadpis2"/>
    <w:link w:val="Podtitul11Char"/>
    <w:qFormat/>
    <w:rsid w:val="005C623F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C623F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5C623F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5C623F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C623F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623F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Svoboda</dc:creator>
  <cp:keywords/>
  <dc:description/>
  <cp:lastModifiedBy>Microsoft Office User</cp:lastModifiedBy>
  <cp:revision>30</cp:revision>
  <dcterms:created xsi:type="dcterms:W3CDTF">2024-05-14T15:04:00Z</dcterms:created>
  <dcterms:modified xsi:type="dcterms:W3CDTF">2026-05-28T20:45:00Z</dcterms:modified>
</cp:coreProperties>
</file>